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Nota de Crédito Electrónica</w:t>
      </w:r>
    </w:p>
    <w:p>
      <w:pPr>
        <w:pStyle w:val="Heading2"/>
      </w:pPr>
      <w:r>
        <w:t>Información del Emisor</w:t>
      </w:r>
    </w:p>
    <w:p>
      <w:r>
        <w:t>Razón Social del Emisor: Comercializadora Andina S.A.C.</w:t>
      </w:r>
    </w:p>
    <w:p>
      <w:r>
        <w:t>RUC: 20123456789</w:t>
      </w:r>
    </w:p>
    <w:p>
      <w:r>
        <w:t>Dirección: Av. Los Incas 1234, Lima</w:t>
      </w:r>
    </w:p>
    <w:p>
      <w:pPr>
        <w:pStyle w:val="Heading2"/>
      </w:pPr>
      <w:r>
        <w:t>Información del Cliente</w:t>
      </w:r>
    </w:p>
    <w:p>
      <w:r>
        <w:t>Nombre o Razón Social: Distribuidora Pacífico E.I.R.L.</w:t>
      </w:r>
    </w:p>
    <w:p>
      <w:r>
        <w:t>RUC: 20567891234</w:t>
      </w:r>
    </w:p>
    <w:p>
      <w:r>
        <w:t>Dirección: Jr. Amazonas 567, Arequipa</w:t>
      </w:r>
    </w:p>
    <w:p>
      <w:pPr>
        <w:pStyle w:val="Heading2"/>
      </w:pPr>
      <w:r>
        <w:t>Datos de la Nota de Crédito</w:t>
      </w:r>
    </w:p>
    <w:p>
      <w:r>
        <w:t>Serie y Número: NC-F001-000123</w:t>
      </w:r>
    </w:p>
    <w:p>
      <w:r>
        <w:t>Fecha de Emisión: 15/11/2024</w:t>
      </w:r>
    </w:p>
    <w:p>
      <w:r>
        <w:t>Documento que se Modifica: Factura Electrónica</w:t>
      </w:r>
    </w:p>
    <w:p>
      <w:r>
        <w:t>Número de Comprobante: F001-000456</w:t>
      </w:r>
    </w:p>
    <w:p>
      <w:r>
        <w:t>Fecha de Emisión del Comprobante: 10/11/2024</w:t>
      </w:r>
    </w:p>
    <w:p>
      <w:pPr>
        <w:pStyle w:val="Heading2"/>
      </w:pPr>
      <w:r>
        <w:t>Motivo de Emisión</w:t>
      </w:r>
    </w:p>
    <w:p>
      <w:r>
        <w:t>Devolución de productos por defectos de fabricación.</w:t>
      </w:r>
    </w:p>
    <w:p>
      <w:pPr>
        <w:pStyle w:val="Heading2"/>
      </w:pPr>
      <w:r>
        <w:t>Detalle de la Nota de Crédito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Ítem</w:t>
            </w:r>
          </w:p>
        </w:tc>
        <w:tc>
          <w:tcPr>
            <w:tcW w:type="dxa" w:w="1728"/>
          </w:tcPr>
          <w:p>
            <w:r>
              <w:t>Descripción del Producto</w:t>
            </w:r>
          </w:p>
        </w:tc>
        <w:tc>
          <w:tcPr>
            <w:tcW w:type="dxa" w:w="1728"/>
          </w:tcPr>
          <w:p>
            <w:r>
              <w:t>Cantidad</w:t>
            </w:r>
          </w:p>
        </w:tc>
        <w:tc>
          <w:tcPr>
            <w:tcW w:type="dxa" w:w="1728"/>
          </w:tcPr>
          <w:p>
            <w:r>
              <w:t>Precio Unitario (PEN)</w:t>
            </w:r>
          </w:p>
        </w:tc>
        <w:tc>
          <w:tcPr>
            <w:tcW w:type="dxa" w:w="1728"/>
          </w:tcPr>
          <w:p>
            <w:r>
              <w:t>Total (PEN)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Lote de 100 unidades de widgets modelo X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5,000.00</w:t>
            </w:r>
          </w:p>
        </w:tc>
        <w:tc>
          <w:tcPr>
            <w:tcW w:type="dxa" w:w="1728"/>
          </w:tcPr>
          <w:p>
            <w:r>
              <w:t>5,000.00</w:t>
            </w:r>
          </w:p>
        </w:tc>
      </w:tr>
    </w:tbl>
    <w:p>
      <w:r>
        <w:t>Subtotal: 5,000.00 PEN</w:t>
      </w:r>
    </w:p>
    <w:p>
      <w:r>
        <w:t>IGV (18%): 900.00 PEN</w:t>
      </w:r>
    </w:p>
    <w:p>
      <w:r>
        <w:t>Total: 5,900.00 PEN</w:t>
      </w:r>
    </w:p>
    <w:p>
      <w:pPr>
        <w:pStyle w:val="Heading2"/>
      </w:pPr>
      <w:r>
        <w:t>Observaciones</w:t>
      </w:r>
    </w:p>
    <w:p>
      <w:r>
        <w:t>Se adjunta informe técnico que detalla los defectos encontrados en los productos devueltos.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